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NACCOP 2019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One Size May Not Fit All: Improving the Effectiveness of CSA Training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Melinda Benson, OSU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Priorities vary: safety, compliance, student care, risk to brand, etc.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Evolution of CSA identification and training at OSU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ab/>
        <w:t xml:space="preserve">Took about two years, grass roots approach, starting with HR and small focus groups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ab/>
        <w:t xml:space="preserve">Conducted training sessions with HR staff regarding basics of CSA roles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ab/>
        <w:t xml:space="preserve">HR partners manage the CSA rosters for their units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ab/>
        <w:t xml:space="preserve">Future integration through the enterprise project (Workday)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ab/>
        <w:t xml:space="preserve">Workday will be able to assign training, certify reports/non-reports from CSAs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ab/>
        <w:t xml:space="preserve">Annual notification to 7,500 and 1,000 third party (contracted, volunteers, etc.)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ab/>
        <w:t xml:space="preserve">Online training (BuckeyeLearn),  In person for high risk areas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ab/>
        <w:t xml:space="preserve">Melinda keeps a list of training activities</w:t>
      </w:r>
    </w:p>
    <w:p w:rsidR="00000000" w:rsidDel="00000000" w:rsidP="00000000" w:rsidRDefault="00000000" w:rsidRPr="00000000" w14:paraId="00000012">
      <w:pPr>
        <w:pageBreakBefore w:val="0"/>
        <w:rPr>
          <w:color w:val="ff000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color w:val="ff0000"/>
          <w:rtl w:val="0"/>
        </w:rPr>
        <w:t xml:space="preserve">Educational video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ab/>
        <w:t xml:space="preserve">Emailed video and included FAQ within out-of-office response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ab/>
        <w:t xml:space="preserve">Reporting obligations: felony reporting law, Title IX, NCAA, etc.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ab/>
        <w:t xml:space="preserve">In-person presentation slides, including duties, risks (fines), etc.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ab/>
        <w:t xml:space="preserve">Clery intersections with Student Life, discussions about space, prevention efforts, etc.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Opportunity to discuss details in the CSA notification letter that was sent previously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ab/>
        <w:t xml:space="preserve">Discussion of institutional obligations vs individual liability (none)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ab/>
        <w:t xml:space="preserve">Hand-out for CSAs (two pages) with clery-reportable crimes, etc.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ab/>
        <w:t xml:space="preserve">Training for RAs regarding process for submitting reports and interpreting information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ab/>
        <w:t xml:space="preserve">In-person slides vary depending on audience (ie, greek life, housing staff, etc)</w:t>
        <w:tab/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Tags in incident reports (Maxient), training for RAs and professional staff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ab/>
        <w:t xml:space="preserve">Color coding for incident based counts vs incident based counts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ab/>
        <w:t xml:space="preserve">Shows crime log to audiences, and how to report (online)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Automated/online process helps standardize information in reports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Medical marijuana no longer confiscated at OSU (illegal seizure). Students are asked to remove it from campus.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B6ADE709064EA713D503208C8475" ma:contentTypeVersion="10" ma:contentTypeDescription="Create a new document." ma:contentTypeScope="" ma:versionID="a757876f48a49439e893add3255229f0">
  <xsd:schema xmlns:xsd="http://www.w3.org/2001/XMLSchema" xmlns:xs="http://www.w3.org/2001/XMLSchema" xmlns:p="http://schemas.microsoft.com/office/2006/metadata/properties" xmlns:ns2="008583f1-9b18-4336-aba1-af0bb972fdd8" xmlns:ns3="ea4ca875-1357-439d-96c3-5bbdb0a64314" targetNamespace="http://schemas.microsoft.com/office/2006/metadata/properties" ma:root="true" ma:fieldsID="4e1d488fd90a56436e7e1cdfc698ff55" ns2:_="" ns3:_="">
    <xsd:import namespace="008583f1-9b18-4336-aba1-af0bb972fdd8"/>
    <xsd:import namespace="ea4ca875-1357-439d-96c3-5bbdb0a64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83f1-9b18-4336-aba1-af0bb972f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a875-1357-439d-96c3-5bbdb0a64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CF42F7-CF46-4F58-86B1-1B6FABE9451F}"/>
</file>

<file path=customXml/itemProps2.xml><?xml version="1.0" encoding="utf-8"?>
<ds:datastoreItem xmlns:ds="http://schemas.openxmlformats.org/officeDocument/2006/customXml" ds:itemID="{A3456910-1D78-4808-8F72-C97E52A8DB6D}"/>
</file>

<file path=customXml/itemProps3.xml><?xml version="1.0" encoding="utf-8"?>
<ds:datastoreItem xmlns:ds="http://schemas.openxmlformats.org/officeDocument/2006/customXml" ds:itemID="{70AC7811-CA11-4519-BBC5-0FACCC5184C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0x01010032A7B6ADE709064EA713D503208C8475</vt:lpwstr>
  </property>
</Properties>
</file>